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D96F" w14:textId="67C953AB" w:rsidR="005A576F" w:rsidRPr="0067302C" w:rsidRDefault="00DB30D9" w:rsidP="00DB30D9">
      <w:pPr>
        <w:ind w:left="-567" w:right="-567"/>
        <w:jc w:val="right"/>
        <w:rPr>
          <w:rFonts w:ascii="Poppins" w:hAnsi="Poppins" w:cs="Poppins"/>
          <w:b/>
          <w:bCs/>
          <w:color w:val="D3B32C"/>
          <w:sz w:val="24"/>
          <w:szCs w:val="24"/>
        </w:rPr>
      </w:pP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286E05">
        <w:rPr>
          <w:rFonts w:cstheme="minorHAnsi"/>
          <w:color w:val="0D284B" w:themeColor="text1"/>
          <w:sz w:val="24"/>
          <w:szCs w:val="24"/>
        </w:rPr>
        <w:tab/>
      </w:r>
      <w:r w:rsidRPr="0067302C">
        <w:rPr>
          <w:rFonts w:ascii="Poppins" w:hAnsi="Poppins" w:cs="Poppins"/>
          <w:b/>
          <w:bCs/>
          <w:color w:val="D3B32C"/>
          <w:sz w:val="24"/>
          <w:szCs w:val="24"/>
        </w:rPr>
        <w:t xml:space="preserve"> </w:t>
      </w:r>
    </w:p>
    <w:p w14:paraId="1770A17F" w14:textId="6545E964" w:rsidR="005A576F" w:rsidRPr="0067302C" w:rsidRDefault="005A576F" w:rsidP="005A576F">
      <w:pPr>
        <w:ind w:left="-567" w:right="-567"/>
        <w:jc w:val="both"/>
        <w:rPr>
          <w:rFonts w:ascii="Poppins" w:hAnsi="Poppins" w:cs="Poppins"/>
          <w:color w:val="0D284B" w:themeColor="text1"/>
          <w:sz w:val="24"/>
          <w:szCs w:val="24"/>
        </w:rPr>
      </w:pPr>
    </w:p>
    <w:p w14:paraId="40DD838D" w14:textId="3564D115" w:rsidR="00312DDF" w:rsidRDefault="00312DDF" w:rsidP="005D3E44">
      <w:pPr>
        <w:ind w:left="-567" w:right="-567"/>
        <w:jc w:val="center"/>
        <w:rPr>
          <w:rFonts w:ascii="Poppins" w:hAnsi="Poppins" w:cs="Poppins"/>
          <w:b/>
          <w:bCs/>
          <w:color w:val="002060"/>
          <w:sz w:val="28"/>
          <w:szCs w:val="28"/>
        </w:rPr>
      </w:pPr>
      <w:r w:rsidRPr="005D3E44">
        <w:rPr>
          <w:rFonts w:ascii="Poppins" w:hAnsi="Poppins" w:cs="Poppins"/>
          <w:b/>
          <w:bCs/>
          <w:color w:val="002060"/>
          <w:sz w:val="28"/>
          <w:szCs w:val="28"/>
        </w:rPr>
        <w:t>Des collectivités en bonne santé face aux défis de la transition écologique</w:t>
      </w:r>
      <w:r w:rsidR="005D3E44">
        <w:rPr>
          <w:rFonts w:ascii="Poppins" w:hAnsi="Poppins" w:cs="Poppins"/>
          <w:b/>
          <w:bCs/>
          <w:color w:val="0D284B"/>
          <w:sz w:val="28"/>
          <w:szCs w:val="28"/>
        </w:rPr>
        <w:t xml:space="preserve"> </w:t>
      </w:r>
      <w:r w:rsidRPr="005D3E44">
        <w:rPr>
          <w:rFonts w:ascii="Poppins" w:hAnsi="Poppins" w:cs="Poppins"/>
          <w:b/>
          <w:bCs/>
          <w:color w:val="002060"/>
          <w:sz w:val="28"/>
          <w:szCs w:val="28"/>
        </w:rPr>
        <w:t>par Stanislas Boutmy, directeur des fonds de financement</w:t>
      </w:r>
      <w:r w:rsidR="005D3E44">
        <w:rPr>
          <w:rFonts w:ascii="Poppins" w:hAnsi="Poppins" w:cs="Poppins"/>
          <w:b/>
          <w:bCs/>
          <w:color w:val="002060"/>
          <w:sz w:val="28"/>
          <w:szCs w:val="28"/>
        </w:rPr>
        <w:t xml:space="preserve"> </w:t>
      </w:r>
      <w:r w:rsidRPr="005D3E44">
        <w:rPr>
          <w:rFonts w:ascii="Poppins" w:hAnsi="Poppins" w:cs="Poppins"/>
          <w:b/>
          <w:bCs/>
          <w:color w:val="002060"/>
          <w:sz w:val="28"/>
          <w:szCs w:val="28"/>
        </w:rPr>
        <w:t xml:space="preserve">du secteur public, </w:t>
      </w:r>
      <w:proofErr w:type="spellStart"/>
      <w:r w:rsidRPr="005D3E44">
        <w:rPr>
          <w:rFonts w:ascii="Poppins" w:hAnsi="Poppins" w:cs="Poppins"/>
          <w:b/>
          <w:bCs/>
          <w:color w:val="002060"/>
          <w:sz w:val="28"/>
          <w:szCs w:val="28"/>
        </w:rPr>
        <w:t>Sienna</w:t>
      </w:r>
      <w:proofErr w:type="spellEnd"/>
      <w:r w:rsidRPr="005D3E44">
        <w:rPr>
          <w:rFonts w:ascii="Poppins" w:hAnsi="Poppins" w:cs="Poppins"/>
          <w:b/>
          <w:bCs/>
          <w:color w:val="002060"/>
          <w:sz w:val="28"/>
          <w:szCs w:val="28"/>
        </w:rPr>
        <w:t xml:space="preserve"> </w:t>
      </w:r>
      <w:proofErr w:type="spellStart"/>
      <w:r w:rsidRPr="005D3E44">
        <w:rPr>
          <w:rFonts w:ascii="Poppins" w:hAnsi="Poppins" w:cs="Poppins"/>
          <w:b/>
          <w:bCs/>
          <w:color w:val="002060"/>
          <w:sz w:val="28"/>
          <w:szCs w:val="28"/>
        </w:rPr>
        <w:t>Private</w:t>
      </w:r>
      <w:proofErr w:type="spellEnd"/>
      <w:r w:rsidRPr="005D3E44">
        <w:rPr>
          <w:rFonts w:ascii="Poppins" w:hAnsi="Poppins" w:cs="Poppins"/>
          <w:b/>
          <w:bCs/>
          <w:color w:val="002060"/>
          <w:sz w:val="28"/>
          <w:szCs w:val="28"/>
        </w:rPr>
        <w:t xml:space="preserve"> </w:t>
      </w:r>
      <w:proofErr w:type="spellStart"/>
      <w:r w:rsidRPr="005D3E44">
        <w:rPr>
          <w:rFonts w:ascii="Poppins" w:hAnsi="Poppins" w:cs="Poppins"/>
          <w:b/>
          <w:bCs/>
          <w:color w:val="002060"/>
          <w:sz w:val="28"/>
          <w:szCs w:val="28"/>
        </w:rPr>
        <w:t>Credit</w:t>
      </w:r>
      <w:proofErr w:type="spellEnd"/>
    </w:p>
    <w:p w14:paraId="17F2F824" w14:textId="77777777" w:rsidR="005D3E44" w:rsidRPr="005D3E44" w:rsidRDefault="005D3E44" w:rsidP="005D3E44">
      <w:pPr>
        <w:ind w:left="-567" w:right="-567"/>
        <w:jc w:val="both"/>
        <w:rPr>
          <w:rFonts w:ascii="Poppins" w:hAnsi="Poppins" w:cs="Poppins"/>
          <w:b/>
          <w:bCs/>
          <w:color w:val="0D284B"/>
          <w:sz w:val="28"/>
          <w:szCs w:val="28"/>
        </w:rPr>
      </w:pPr>
    </w:p>
    <w:p w14:paraId="0D0C9CDB" w14:textId="77777777" w:rsidR="00312DDF" w:rsidRPr="005D3E44" w:rsidRDefault="00312DDF" w:rsidP="005D3E44">
      <w:pPr>
        <w:spacing w:after="240"/>
        <w:jc w:val="both"/>
        <w:rPr>
          <w:color w:val="002060"/>
          <w:sz w:val="24"/>
          <w:szCs w:val="24"/>
        </w:rPr>
      </w:pPr>
      <w:r w:rsidRPr="005D3E44">
        <w:rPr>
          <w:color w:val="002060"/>
          <w:sz w:val="24"/>
          <w:szCs w:val="24"/>
        </w:rPr>
        <w:t>Au lendemain de la crise sanitaire, après la crise énergétique, malgré l’inflation, indépendamment des inquiétudes de certains de leurs représentants, les collectivités locales vont bien.</w:t>
      </w:r>
    </w:p>
    <w:p w14:paraId="37EA2EDD" w14:textId="77777777" w:rsidR="00312DDF" w:rsidRPr="005D3E44" w:rsidRDefault="00312DDF" w:rsidP="005D3E44">
      <w:pPr>
        <w:spacing w:after="240"/>
        <w:jc w:val="both"/>
        <w:rPr>
          <w:color w:val="002060"/>
          <w:sz w:val="24"/>
          <w:szCs w:val="24"/>
        </w:rPr>
      </w:pPr>
      <w:bookmarkStart w:id="0" w:name="_Hlk136252156"/>
      <w:r w:rsidRPr="005D3E44">
        <w:rPr>
          <w:color w:val="002060"/>
          <w:sz w:val="24"/>
          <w:szCs w:val="24"/>
        </w:rPr>
        <w:t>Evidemment, comme dans toutes les économies avancées, le secteur public local français est dans un processus d’amélioration continue. Oui, des réformes sont nécessaires, des réorganisations utiles.  D’autant plus, on le verra, qu’elles sont au cœur des investissements à venir.</w:t>
      </w:r>
    </w:p>
    <w:bookmarkEnd w:id="0"/>
    <w:p w14:paraId="2E149BB1" w14:textId="77777777" w:rsidR="00312DDF" w:rsidRPr="005D3E44" w:rsidRDefault="00312DDF" w:rsidP="005D3E44">
      <w:pPr>
        <w:spacing w:after="240"/>
        <w:jc w:val="both"/>
        <w:rPr>
          <w:b/>
          <w:bCs/>
          <w:color w:val="002060"/>
          <w:sz w:val="24"/>
          <w:szCs w:val="24"/>
        </w:rPr>
      </w:pPr>
      <w:r w:rsidRPr="005D3E44">
        <w:rPr>
          <w:b/>
          <w:bCs/>
          <w:color w:val="002060"/>
          <w:sz w:val="24"/>
          <w:szCs w:val="24"/>
        </w:rPr>
        <w:t>Malgré tout, un secteur public local solide et résilient</w:t>
      </w:r>
    </w:p>
    <w:p w14:paraId="67A5B31C" w14:textId="77777777" w:rsidR="00312DDF" w:rsidRPr="005D3E44" w:rsidRDefault="00312DDF" w:rsidP="005D3E44">
      <w:pPr>
        <w:spacing w:after="240"/>
        <w:jc w:val="both"/>
        <w:rPr>
          <w:color w:val="002060"/>
          <w:sz w:val="24"/>
          <w:szCs w:val="24"/>
        </w:rPr>
      </w:pPr>
      <w:r w:rsidRPr="005D3E44">
        <w:rPr>
          <w:color w:val="002060"/>
          <w:sz w:val="24"/>
          <w:szCs w:val="24"/>
        </w:rPr>
        <w:t>Alors que Fitch vient de dégrader la France et que les notations accordées par les autres agences sont suivies avec attention, il est remarquable que seules les collectivités notées comme l’Etat central l’ont suivi, respectant le plafond qu’il représente. Les autres notations n’ont pas évolué en sympathie. On observe donc une compression du champ de notation entre AA- et A-. C’est l’illustration d’une situation financière et institutionnelle solide.</w:t>
      </w:r>
    </w:p>
    <w:p w14:paraId="5AD522E5" w14:textId="77777777" w:rsidR="00312DDF" w:rsidRPr="005D3E44" w:rsidRDefault="00312DDF" w:rsidP="005D3E44">
      <w:pPr>
        <w:spacing w:after="240"/>
        <w:jc w:val="both"/>
        <w:rPr>
          <w:color w:val="002060"/>
          <w:sz w:val="24"/>
          <w:szCs w:val="24"/>
        </w:rPr>
      </w:pPr>
      <w:r w:rsidRPr="005D3E44">
        <w:rPr>
          <w:color w:val="002060"/>
          <w:sz w:val="24"/>
          <w:szCs w:val="24"/>
        </w:rPr>
        <w:t>La résilience du secteur public local - regroupant les communes et leurs intercommunalités, les départements, les régions, leurs satellites, les centres hospitaliers et même sous un certain angle les bailleurs sociaux – tient de plusieurs facteurs. En premier lieu, le cadre réglementaire dans lequel il évolue constitue un solide filet de protection. Leurs contraintes budgétaires (obligations d’équilibres, endettement restreint aux dépenses d’investissement, champs de compétences prédéfinis) les engagent sur un chemin d’exigence financière. Les contrôles dont elles sont l’objet, tant institutionnels (préfet, chambres régionales des comptes) que démocratiques (élections, assemblées délibérantes avec des oppositions, citoyens, médias), sont au moins aussi protecteurs que les assemblées générales les plus engagées. Leur personnel est le plus souvent bien formé, compétent, motivé et respectueux de l’intérêt général. Les élus sont impliqués. Enfin, le soutien indéfectible et constant de l’Etat central leur permet de faire face à leurs obligations.</w:t>
      </w:r>
    </w:p>
    <w:p w14:paraId="3DA89058" w14:textId="77777777" w:rsidR="00312DDF" w:rsidRPr="005D3E44" w:rsidRDefault="00312DDF" w:rsidP="005D3E44">
      <w:pPr>
        <w:spacing w:after="240"/>
        <w:jc w:val="both"/>
        <w:rPr>
          <w:b/>
          <w:bCs/>
          <w:color w:val="002060"/>
          <w:sz w:val="24"/>
          <w:szCs w:val="24"/>
        </w:rPr>
      </w:pPr>
      <w:r w:rsidRPr="005D3E44">
        <w:rPr>
          <w:b/>
          <w:bCs/>
          <w:color w:val="002060"/>
          <w:sz w:val="24"/>
          <w:szCs w:val="24"/>
        </w:rPr>
        <w:t>La dette du secteur public local est dans une trajectoire vertueuse</w:t>
      </w:r>
    </w:p>
    <w:p w14:paraId="06B6620E" w14:textId="77777777" w:rsidR="00312DDF" w:rsidRPr="005D3E44" w:rsidRDefault="00312DDF" w:rsidP="005D3E44">
      <w:pPr>
        <w:spacing w:after="240"/>
        <w:jc w:val="both"/>
        <w:rPr>
          <w:color w:val="002060"/>
          <w:sz w:val="24"/>
          <w:szCs w:val="24"/>
        </w:rPr>
      </w:pPr>
      <w:r w:rsidRPr="005D3E44">
        <w:rPr>
          <w:color w:val="002060"/>
          <w:sz w:val="24"/>
          <w:szCs w:val="24"/>
        </w:rPr>
        <w:t>En pratique, l’INSEE constate un peu moins de 300 milliards €</w:t>
      </w:r>
      <w:r w:rsidRPr="005D3E44">
        <w:rPr>
          <w:rStyle w:val="Appelnotedebasdep"/>
          <w:color w:val="002060"/>
          <w:sz w:val="24"/>
          <w:szCs w:val="24"/>
        </w:rPr>
        <w:footnoteReference w:id="2"/>
      </w:r>
      <w:r w:rsidRPr="005D3E44">
        <w:rPr>
          <w:color w:val="002060"/>
          <w:sz w:val="24"/>
          <w:szCs w:val="24"/>
        </w:rPr>
        <w:t xml:space="preserve"> de dépenses, et donc de recettes, des Administrations Publiques Locales (APUL) en 2022, soit 11,2% du PIB, stable par rapport à 2021. La croissance des recettes est principalement liée à leur lien à la TVA et au produit de la fiscalité locale, malgré des taux stables. Les achats courants de biens et services ont cru de 8,5%, reflétant l’inflation, et les dépenses de personnel de 5,6%, quand les subventions et prestations sociales sont restées stables. Les dépenses d’investissements sont, </w:t>
      </w:r>
      <w:r w:rsidRPr="005D3E44">
        <w:rPr>
          <w:color w:val="002060"/>
          <w:sz w:val="24"/>
          <w:szCs w:val="24"/>
        </w:rPr>
        <w:lastRenderedPageBreak/>
        <w:t xml:space="preserve">elles, en hausse, de 8,1% à 57 milliards €, augmentées de 10 milliards € d’aides à l’investissement. </w:t>
      </w:r>
    </w:p>
    <w:p w14:paraId="1DDC5DA6" w14:textId="77777777" w:rsidR="00312DDF" w:rsidRPr="005D3E44" w:rsidRDefault="00312DDF" w:rsidP="005D3E44">
      <w:pPr>
        <w:spacing w:after="240"/>
        <w:jc w:val="both"/>
        <w:rPr>
          <w:color w:val="002060"/>
          <w:sz w:val="24"/>
          <w:szCs w:val="24"/>
        </w:rPr>
      </w:pPr>
      <w:r w:rsidRPr="005D3E44">
        <w:rPr>
          <w:color w:val="002060"/>
          <w:sz w:val="24"/>
          <w:szCs w:val="24"/>
        </w:rPr>
        <w:t xml:space="preserve">Les collectivités n’hésitent pas à s’endetter à long terme pour financer leurs investissements et ont su profiter des taux bas pour renouveler leur dette, dont le coût est donc réduit. Ainsi, pour l’ensemble des APUL, comprenant la SGP et </w:t>
      </w:r>
      <w:proofErr w:type="spellStart"/>
      <w:r w:rsidRPr="005D3E44">
        <w:rPr>
          <w:color w:val="002060"/>
          <w:sz w:val="24"/>
          <w:szCs w:val="24"/>
        </w:rPr>
        <w:t>IDFMobilité</w:t>
      </w:r>
      <w:proofErr w:type="spellEnd"/>
      <w:r w:rsidRPr="005D3E44">
        <w:rPr>
          <w:color w:val="002060"/>
          <w:sz w:val="24"/>
          <w:szCs w:val="24"/>
        </w:rPr>
        <w:t>, elle ne représente plus que 9,3 % du PIB.</w:t>
      </w:r>
    </w:p>
    <w:p w14:paraId="2A016360" w14:textId="77777777" w:rsidR="00312DDF" w:rsidRPr="005D3E44" w:rsidRDefault="00312DDF" w:rsidP="005D3E44">
      <w:pPr>
        <w:spacing w:after="240"/>
        <w:jc w:val="both"/>
        <w:rPr>
          <w:color w:val="002060"/>
          <w:sz w:val="24"/>
          <w:szCs w:val="24"/>
        </w:rPr>
      </w:pPr>
      <w:r w:rsidRPr="005D3E44">
        <w:rPr>
          <w:color w:val="002060"/>
          <w:sz w:val="24"/>
          <w:szCs w:val="24"/>
        </w:rPr>
        <w:t>Les missions des collectivités locales françaises diffèrent de celles de leurs voisines européennes. La France est un état décentralisé et non fédéral. L’Etat central a pour compétence notamment la santé, la sécurité, la justice et la défense. Pour l’éducation, si les programmes et le personnel relèvent de l’Etat central, le bâti scolaire est de la compétence des collectivités. Les transports en commun, publics ou scolaires, le logement social, la dépendance, les déchets, l’eau, les routes, les équipements publics locaux font partie des compétences cœurs des collectivités. C’est ainsi que l’essentiel de l’investissement public en France repose sur le secteur public local. Le chiffre d’affaires de la branche travaux publics est ainsi étroitement corrélé aux dépenses d’investissements des collectivités, par exemple.</w:t>
      </w:r>
    </w:p>
    <w:p w14:paraId="124E2AF3" w14:textId="77777777" w:rsidR="00312DDF" w:rsidRPr="005D3E44" w:rsidRDefault="00312DDF" w:rsidP="005D3E44">
      <w:pPr>
        <w:spacing w:after="240"/>
        <w:jc w:val="both"/>
        <w:rPr>
          <w:color w:val="002060"/>
          <w:sz w:val="24"/>
          <w:szCs w:val="24"/>
        </w:rPr>
      </w:pPr>
      <w:r w:rsidRPr="005D3E44">
        <w:rPr>
          <w:color w:val="002060"/>
          <w:sz w:val="24"/>
          <w:szCs w:val="24"/>
        </w:rPr>
        <w:t xml:space="preserve">Ces missions sont au cœur de la transition écologique. Le rapport Pisany-Ferry/ Mahfouz </w:t>
      </w:r>
      <w:r w:rsidRPr="005D3E44">
        <w:rPr>
          <w:rStyle w:val="Appelnotedebasdep"/>
          <w:color w:val="002060"/>
          <w:sz w:val="24"/>
          <w:szCs w:val="24"/>
        </w:rPr>
        <w:footnoteReference w:id="3"/>
      </w:r>
      <w:r w:rsidRPr="005D3E44">
        <w:rPr>
          <w:color w:val="002060"/>
          <w:sz w:val="24"/>
          <w:szCs w:val="24"/>
        </w:rPr>
        <w:t xml:space="preserve"> pour France Stratégie publié fin mai 2023 relève par ailleurs l’étroit lien entre les compétences des collectivités et l’effort d’investissement nécessaire pour atteindre l’objectif 2030 de neutralité carbone. Le rapport estime ainsi les surcoûts d’investissement pour le secteur public : pour la rénovation des logements (+14 Mds €), des bâtiments publics (+10 Mds €), des infrastructures (+4 Mds €), l’électrification des véhicules (+1 Md €)... Soit au total 34 milliards € par an. Cela correspond à un effort de 50% supplémentaire demandé aux collectivités qu’elles ne pourront exclusivement autofinancer. Nous assisterons donc à une hausse naturelle et vertueuse de l’endettement du secteur public local. </w:t>
      </w:r>
    </w:p>
    <w:p w14:paraId="27D38230" w14:textId="1E483DAE" w:rsidR="00514776" w:rsidRPr="005D3E44" w:rsidRDefault="00312DDF" w:rsidP="005D3E44">
      <w:pPr>
        <w:spacing w:after="240"/>
        <w:jc w:val="both"/>
        <w:rPr>
          <w:color w:val="002060"/>
          <w:sz w:val="24"/>
          <w:szCs w:val="24"/>
        </w:rPr>
      </w:pPr>
      <w:r w:rsidRPr="005D3E44">
        <w:rPr>
          <w:color w:val="002060"/>
          <w:sz w:val="24"/>
          <w:szCs w:val="24"/>
        </w:rPr>
        <w:t xml:space="preserve">Depuis 2013, c’est un secteur que </w:t>
      </w:r>
      <w:proofErr w:type="spellStart"/>
      <w:r w:rsidRPr="005D3E44">
        <w:rPr>
          <w:color w:val="002060"/>
          <w:sz w:val="24"/>
          <w:szCs w:val="24"/>
        </w:rPr>
        <w:t>Sienna</w:t>
      </w:r>
      <w:proofErr w:type="spellEnd"/>
      <w:r w:rsidRPr="005D3E44">
        <w:rPr>
          <w:color w:val="002060"/>
          <w:sz w:val="24"/>
          <w:szCs w:val="24"/>
        </w:rPr>
        <w:t xml:space="preserve"> </w:t>
      </w:r>
      <w:proofErr w:type="spellStart"/>
      <w:r w:rsidRPr="005D3E44">
        <w:rPr>
          <w:color w:val="002060"/>
          <w:sz w:val="24"/>
          <w:szCs w:val="24"/>
        </w:rPr>
        <w:t>Private</w:t>
      </w:r>
      <w:proofErr w:type="spellEnd"/>
      <w:r w:rsidRPr="005D3E44">
        <w:rPr>
          <w:color w:val="002060"/>
          <w:sz w:val="24"/>
          <w:szCs w:val="24"/>
        </w:rPr>
        <w:t xml:space="preserve"> </w:t>
      </w:r>
      <w:proofErr w:type="spellStart"/>
      <w:r w:rsidRPr="005D3E44">
        <w:rPr>
          <w:color w:val="002060"/>
          <w:sz w:val="24"/>
          <w:szCs w:val="24"/>
        </w:rPr>
        <w:t>Credit</w:t>
      </w:r>
      <w:proofErr w:type="spellEnd"/>
      <w:r w:rsidRPr="005D3E44">
        <w:rPr>
          <w:color w:val="002060"/>
          <w:sz w:val="24"/>
          <w:szCs w:val="24"/>
        </w:rPr>
        <w:t xml:space="preserve"> suit avec attention, avec des outils d’analyse, de </w:t>
      </w:r>
      <w:proofErr w:type="spellStart"/>
      <w:r w:rsidRPr="005D3E44">
        <w:rPr>
          <w:color w:val="002060"/>
          <w:sz w:val="24"/>
          <w:szCs w:val="24"/>
        </w:rPr>
        <w:t>scoring</w:t>
      </w:r>
      <w:proofErr w:type="spellEnd"/>
      <w:r w:rsidRPr="005D3E44">
        <w:rPr>
          <w:color w:val="002060"/>
          <w:sz w:val="24"/>
          <w:szCs w:val="24"/>
        </w:rPr>
        <w:t xml:space="preserve">, un </w:t>
      </w:r>
      <w:proofErr w:type="spellStart"/>
      <w:r w:rsidRPr="005D3E44">
        <w:rPr>
          <w:color w:val="002060"/>
          <w:sz w:val="24"/>
          <w:szCs w:val="24"/>
        </w:rPr>
        <w:t>sourcing</w:t>
      </w:r>
      <w:proofErr w:type="spellEnd"/>
      <w:r w:rsidRPr="005D3E44">
        <w:rPr>
          <w:color w:val="002060"/>
          <w:sz w:val="24"/>
          <w:szCs w:val="24"/>
        </w:rPr>
        <w:t xml:space="preserve"> dédié et plusieurs fonds gérés.</w:t>
      </w:r>
    </w:p>
    <w:sectPr w:rsidR="00514776" w:rsidRPr="005D3E44" w:rsidSect="00BA4854">
      <w:headerReference w:type="default" r:id="rId10"/>
      <w:footerReference w:type="default" r:id="rId11"/>
      <w:headerReference w:type="first" r:id="rId12"/>
      <w:footerReference w:type="first" r:id="rId13"/>
      <w:pgSz w:w="11906" w:h="16838"/>
      <w:pgMar w:top="1417" w:right="1417" w:bottom="1417" w:left="1417" w:header="680"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64D5" w14:textId="77777777" w:rsidR="00A27B1A" w:rsidRDefault="00A27B1A" w:rsidP="002D641F">
      <w:r>
        <w:separator/>
      </w:r>
    </w:p>
  </w:endnote>
  <w:endnote w:type="continuationSeparator" w:id="0">
    <w:p w14:paraId="27714A30" w14:textId="77777777" w:rsidR="00A27B1A" w:rsidRDefault="00A27B1A" w:rsidP="002D641F">
      <w:r>
        <w:continuationSeparator/>
      </w:r>
    </w:p>
  </w:endnote>
  <w:endnote w:type="continuationNotice" w:id="1">
    <w:p w14:paraId="3C5A312E" w14:textId="77777777" w:rsidR="00A27B1A" w:rsidRDefault="00A27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oppins">
    <w:altName w:val="Nirmala UI"/>
    <w:charset w:val="00"/>
    <w:family w:val="auto"/>
    <w:pitch w:val="variable"/>
    <w:sig w:usb0="00008007"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ECCB" w14:textId="6C28C92F" w:rsidR="00BA4854" w:rsidRDefault="00BA4854" w:rsidP="00BA4854">
    <w:pPr>
      <w:pStyle w:val="Pieddepage"/>
      <w:tabs>
        <w:tab w:val="clear" w:pos="9072"/>
      </w:tabs>
      <w:ind w:right="-993"/>
      <w:rPr>
        <w:rStyle w:val="Lienhypertexte"/>
        <w:i/>
        <w:iCs/>
        <w:sz w:val="18"/>
        <w:szCs w:val="18"/>
      </w:rPr>
    </w:pPr>
    <w:r w:rsidRPr="00514776">
      <w:rPr>
        <w:noProof/>
      </w:rPr>
      <mc:AlternateContent>
        <mc:Choice Requires="wps">
          <w:drawing>
            <wp:anchor distT="0" distB="0" distL="114300" distR="114300" simplePos="0" relativeHeight="251673600" behindDoc="0" locked="0" layoutInCell="1" allowOverlap="1" wp14:anchorId="7D3AE328" wp14:editId="572965B3">
              <wp:simplePos x="0" y="0"/>
              <wp:positionH relativeFrom="column">
                <wp:posOffset>-724906</wp:posOffset>
              </wp:positionH>
              <wp:positionV relativeFrom="paragraph">
                <wp:posOffset>-76212</wp:posOffset>
              </wp:positionV>
              <wp:extent cx="7215029" cy="0"/>
              <wp:effectExtent l="0" t="0" r="0" b="0"/>
              <wp:wrapNone/>
              <wp:docPr id="10"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5029" cy="0"/>
                      </a:xfrm>
                      <a:prstGeom prst="line">
                        <a:avLst/>
                      </a:prstGeom>
                      <a:noFill/>
                      <a:ln w="6350" cap="flat" cmpd="sng" algn="ctr">
                        <a:solidFill>
                          <a:srgbClr val="D3B32C"/>
                        </a:solidFill>
                        <a:prstDash val="solid"/>
                        <a:miter lim="800000"/>
                      </a:ln>
                      <a:effectLst/>
                    </wps:spPr>
                    <wps:bodyPr/>
                  </wps:wsp>
                </a:graphicData>
              </a:graphic>
            </wp:anchor>
          </w:drawing>
        </mc:Choice>
        <mc:Fallback>
          <w:pict>
            <v:line w14:anchorId="639C57AE" id="Straight Connector 5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7.1pt,-6pt" to="5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" strokecolor="#d3b32c" strokeweight=".5pt">
              <v:stroke joinstyle="miter"/>
              <o:lock v:ext="edit" shapetype="f"/>
            </v:line>
          </w:pict>
        </mc:Fallback>
      </mc:AlternateContent>
    </w:r>
    <w:proofErr w:type="spellStart"/>
    <w:r w:rsidRPr="00514776">
      <w:rPr>
        <w:i/>
        <w:iCs/>
        <w:color w:val="4A6381"/>
        <w:sz w:val="18"/>
        <w:szCs w:val="18"/>
      </w:rPr>
      <w:t>Sienna</w:t>
    </w:r>
    <w:proofErr w:type="spellEnd"/>
    <w:r w:rsidRPr="00514776">
      <w:rPr>
        <w:i/>
        <w:iCs/>
        <w:color w:val="4A6381"/>
        <w:sz w:val="18"/>
        <w:szCs w:val="18"/>
      </w:rPr>
      <w:t xml:space="preserve"> </w:t>
    </w:r>
    <w:proofErr w:type="spellStart"/>
    <w:r w:rsidRPr="00514776">
      <w:rPr>
        <w:i/>
        <w:iCs/>
        <w:color w:val="4A6381"/>
        <w:sz w:val="18"/>
        <w:szCs w:val="18"/>
      </w:rPr>
      <w:t>Private</w:t>
    </w:r>
    <w:proofErr w:type="spellEnd"/>
    <w:r w:rsidRPr="00514776">
      <w:rPr>
        <w:i/>
        <w:iCs/>
        <w:color w:val="4A6381"/>
        <w:sz w:val="18"/>
        <w:szCs w:val="18"/>
      </w:rPr>
      <w:t xml:space="preserve"> </w:t>
    </w:r>
    <w:proofErr w:type="spellStart"/>
    <w:r w:rsidRPr="00514776">
      <w:rPr>
        <w:i/>
        <w:iCs/>
        <w:color w:val="4A6381"/>
        <w:sz w:val="18"/>
        <w:szCs w:val="18"/>
      </w:rPr>
      <w:t>Credit</w:t>
    </w:r>
    <w:proofErr w:type="spellEnd"/>
    <w:r w:rsidRPr="00514776">
      <w:rPr>
        <w:i/>
        <w:iCs/>
        <w:color w:val="4A6381"/>
        <w:sz w:val="18"/>
        <w:szCs w:val="18"/>
      </w:rPr>
      <w:t xml:space="preserve"> | 58 bis rue La Boétie 75008 Paris | +33 (0)1 53 76 99 99 | contact</w:t>
    </w:r>
    <w:r>
      <w:rPr>
        <w:i/>
        <w:iCs/>
        <w:color w:val="4A6381"/>
        <w:sz w:val="18"/>
        <w:szCs w:val="18"/>
      </w:rPr>
      <w:t>-spc</w:t>
    </w:r>
    <w:r w:rsidRPr="00514776">
      <w:rPr>
        <w:i/>
        <w:iCs/>
        <w:color w:val="4A6381"/>
        <w:sz w:val="18"/>
        <w:szCs w:val="18"/>
      </w:rPr>
      <w:t>@</w:t>
    </w:r>
    <w:r>
      <w:rPr>
        <w:i/>
        <w:iCs/>
        <w:color w:val="4A6381"/>
        <w:sz w:val="18"/>
        <w:szCs w:val="18"/>
      </w:rPr>
      <w:t>sienna-im</w:t>
    </w:r>
    <w:r w:rsidRPr="00514776">
      <w:rPr>
        <w:i/>
        <w:iCs/>
        <w:color w:val="4A6381"/>
        <w:sz w:val="18"/>
        <w:szCs w:val="18"/>
      </w:rPr>
      <w:t xml:space="preserve">.com </w:t>
    </w:r>
    <w:r>
      <w:rPr>
        <w:i/>
        <w:iCs/>
        <w:color w:val="4A6381"/>
        <w:sz w:val="18"/>
        <w:szCs w:val="18"/>
      </w:rPr>
      <w:t>|</w:t>
    </w:r>
    <w:r w:rsidR="00D6491A">
      <w:rPr>
        <w:i/>
        <w:iCs/>
        <w:color w:val="4A6381"/>
        <w:sz w:val="18"/>
        <w:szCs w:val="18"/>
      </w:rPr>
      <w:t>www.sienna-im.com</w:t>
    </w:r>
    <w:r w:rsidRPr="00E63B73">
      <w:rPr>
        <w:rStyle w:val="Lienhypertexte"/>
        <w:i/>
        <w:iCs/>
        <w:sz w:val="18"/>
        <w:szCs w:val="18"/>
        <w:u w:val="none"/>
      </w:rPr>
      <w:t xml:space="preserve">        </w:t>
    </w:r>
    <w:r w:rsidRPr="00C167A3">
      <w:rPr>
        <w:b/>
        <w:bCs/>
        <w:color w:val="4A6381"/>
      </w:rPr>
      <w:fldChar w:fldCharType="begin"/>
    </w:r>
    <w:r w:rsidRPr="00C167A3">
      <w:rPr>
        <w:b/>
        <w:bCs/>
        <w:color w:val="4A6381"/>
      </w:rPr>
      <w:instrText>PAGE   \* MERGEFORMAT</w:instrText>
    </w:r>
    <w:r w:rsidRPr="00C167A3">
      <w:rPr>
        <w:b/>
        <w:bCs/>
        <w:color w:val="4A6381"/>
      </w:rPr>
      <w:fldChar w:fldCharType="separate"/>
    </w:r>
    <w:r>
      <w:rPr>
        <w:b/>
        <w:bCs/>
        <w:color w:val="4A6381"/>
      </w:rPr>
      <w:t>1</w:t>
    </w:r>
    <w:r w:rsidRPr="00C167A3">
      <w:rPr>
        <w:b/>
        <w:bCs/>
        <w:color w:val="4A6381"/>
      </w:rPr>
      <w:fldChar w:fldCharType="end"/>
    </w:r>
  </w:p>
  <w:p w14:paraId="2AA81A37" w14:textId="7932E52F" w:rsidR="004652EF" w:rsidRPr="00BA4854" w:rsidRDefault="00BA4854" w:rsidP="00BA4854">
    <w:pPr>
      <w:pStyle w:val="Pieddepage"/>
      <w:tabs>
        <w:tab w:val="clear" w:pos="9072"/>
      </w:tabs>
      <w:ind w:right="-993"/>
      <w:rPr>
        <w:i/>
        <w:iCs/>
        <w:color w:val="4A6381"/>
        <w:sz w:val="18"/>
        <w:szCs w:val="18"/>
      </w:rPr>
    </w:pPr>
    <w:r>
      <w:rPr>
        <w:i/>
        <w:iCs/>
        <w:color w:val="4A6381"/>
        <w:sz w:val="18"/>
        <w:szCs w:val="18"/>
      </w:rPr>
      <w:tab/>
      <w:t xml:space="preserve">          </w:t>
    </w:r>
    <w:proofErr w:type="spellStart"/>
    <w:r>
      <w:rPr>
        <w:i/>
        <w:iCs/>
        <w:color w:val="4A6381"/>
        <w:sz w:val="18"/>
        <w:szCs w:val="18"/>
      </w:rPr>
      <w:t>Sienna</w:t>
    </w:r>
    <w:proofErr w:type="spellEnd"/>
    <w:r>
      <w:rPr>
        <w:i/>
        <w:iCs/>
        <w:color w:val="4A6381"/>
        <w:sz w:val="18"/>
        <w:szCs w:val="18"/>
      </w:rPr>
      <w:t xml:space="preserve"> </w:t>
    </w:r>
    <w:proofErr w:type="spellStart"/>
    <w:r>
      <w:rPr>
        <w:i/>
        <w:iCs/>
        <w:color w:val="4A6381"/>
        <w:sz w:val="18"/>
        <w:szCs w:val="18"/>
      </w:rPr>
      <w:t>Private</w:t>
    </w:r>
    <w:proofErr w:type="spellEnd"/>
    <w:r>
      <w:rPr>
        <w:i/>
        <w:iCs/>
        <w:color w:val="4A6381"/>
        <w:sz w:val="18"/>
        <w:szCs w:val="18"/>
      </w:rPr>
      <w:t xml:space="preserve"> </w:t>
    </w:r>
    <w:proofErr w:type="spellStart"/>
    <w:r>
      <w:rPr>
        <w:i/>
        <w:iCs/>
        <w:color w:val="4A6381"/>
        <w:sz w:val="18"/>
        <w:szCs w:val="18"/>
      </w:rPr>
      <w:t>Credit</w:t>
    </w:r>
    <w:proofErr w:type="spellEnd"/>
    <w:r>
      <w:rPr>
        <w:i/>
        <w:iCs/>
        <w:color w:val="4A6381"/>
        <w:sz w:val="18"/>
        <w:szCs w:val="18"/>
      </w:rPr>
      <w:t xml:space="preserve"> est la marque commerciale de </w:t>
    </w:r>
    <w:proofErr w:type="spellStart"/>
    <w:r>
      <w:rPr>
        <w:i/>
        <w:iCs/>
        <w:color w:val="4A6381"/>
        <w:sz w:val="18"/>
        <w:szCs w:val="18"/>
      </w:rPr>
      <w:t>Sienna</w:t>
    </w:r>
    <w:proofErr w:type="spellEnd"/>
    <w:r>
      <w:rPr>
        <w:i/>
        <w:iCs/>
        <w:color w:val="4A6381"/>
        <w:sz w:val="18"/>
        <w:szCs w:val="18"/>
      </w:rPr>
      <w:t xml:space="preserve"> AM France, une société de portefeuille agrée AMF n° GP97118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5384" w14:textId="44A7B399" w:rsidR="00BA4854" w:rsidRDefault="00BA4854" w:rsidP="00BA4854">
    <w:pPr>
      <w:pStyle w:val="Pieddepage"/>
      <w:tabs>
        <w:tab w:val="clear" w:pos="9072"/>
      </w:tabs>
      <w:ind w:right="-993"/>
      <w:rPr>
        <w:rStyle w:val="Lienhypertexte"/>
        <w:i/>
        <w:iCs/>
        <w:sz w:val="18"/>
        <w:szCs w:val="18"/>
      </w:rPr>
    </w:pPr>
    <w:r w:rsidRPr="00514776">
      <w:rPr>
        <w:noProof/>
      </w:rPr>
      <mc:AlternateContent>
        <mc:Choice Requires="wps">
          <w:drawing>
            <wp:anchor distT="0" distB="0" distL="114300" distR="114300" simplePos="0" relativeHeight="251671552" behindDoc="0" locked="0" layoutInCell="1" allowOverlap="1" wp14:anchorId="075D0DF1" wp14:editId="17EC865C">
              <wp:simplePos x="0" y="0"/>
              <wp:positionH relativeFrom="column">
                <wp:posOffset>-724906</wp:posOffset>
              </wp:positionH>
              <wp:positionV relativeFrom="paragraph">
                <wp:posOffset>-76212</wp:posOffset>
              </wp:positionV>
              <wp:extent cx="7215029" cy="0"/>
              <wp:effectExtent l="0" t="0" r="0" b="0"/>
              <wp:wrapNone/>
              <wp:docPr id="17"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5029" cy="0"/>
                      </a:xfrm>
                      <a:prstGeom prst="line">
                        <a:avLst/>
                      </a:prstGeom>
                      <a:noFill/>
                      <a:ln w="6350" cap="flat" cmpd="sng" algn="ctr">
                        <a:solidFill>
                          <a:srgbClr val="D3B32C"/>
                        </a:solidFill>
                        <a:prstDash val="solid"/>
                        <a:miter lim="800000"/>
                      </a:ln>
                      <a:effectLst/>
                    </wps:spPr>
                    <wps:bodyPr/>
                  </wps:wsp>
                </a:graphicData>
              </a:graphic>
            </wp:anchor>
          </w:drawing>
        </mc:Choice>
        <mc:Fallback>
          <w:pict>
            <v:line w14:anchorId="0517336B" id="Straight Connector 5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1pt,-6pt" to="5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" strokecolor="#d3b32c" strokeweight=".5pt">
              <v:stroke joinstyle="miter"/>
              <o:lock v:ext="edit" shapetype="f"/>
            </v:line>
          </w:pict>
        </mc:Fallback>
      </mc:AlternateContent>
    </w:r>
    <w:proofErr w:type="spellStart"/>
    <w:r w:rsidRPr="00514776">
      <w:rPr>
        <w:i/>
        <w:iCs/>
        <w:color w:val="4A6381"/>
        <w:sz w:val="18"/>
        <w:szCs w:val="18"/>
      </w:rPr>
      <w:t>Sienna</w:t>
    </w:r>
    <w:proofErr w:type="spellEnd"/>
    <w:r w:rsidRPr="00514776">
      <w:rPr>
        <w:i/>
        <w:iCs/>
        <w:color w:val="4A6381"/>
        <w:sz w:val="18"/>
        <w:szCs w:val="18"/>
      </w:rPr>
      <w:t xml:space="preserve"> </w:t>
    </w:r>
    <w:proofErr w:type="spellStart"/>
    <w:r w:rsidRPr="00514776">
      <w:rPr>
        <w:i/>
        <w:iCs/>
        <w:color w:val="4A6381"/>
        <w:sz w:val="18"/>
        <w:szCs w:val="18"/>
      </w:rPr>
      <w:t>Private</w:t>
    </w:r>
    <w:proofErr w:type="spellEnd"/>
    <w:r w:rsidRPr="00514776">
      <w:rPr>
        <w:i/>
        <w:iCs/>
        <w:color w:val="4A6381"/>
        <w:sz w:val="18"/>
        <w:szCs w:val="18"/>
      </w:rPr>
      <w:t xml:space="preserve"> </w:t>
    </w:r>
    <w:proofErr w:type="spellStart"/>
    <w:r w:rsidRPr="00514776">
      <w:rPr>
        <w:i/>
        <w:iCs/>
        <w:color w:val="4A6381"/>
        <w:sz w:val="18"/>
        <w:szCs w:val="18"/>
      </w:rPr>
      <w:t>Credit</w:t>
    </w:r>
    <w:proofErr w:type="spellEnd"/>
    <w:r w:rsidRPr="00514776">
      <w:rPr>
        <w:i/>
        <w:iCs/>
        <w:color w:val="4A6381"/>
        <w:sz w:val="18"/>
        <w:szCs w:val="18"/>
      </w:rPr>
      <w:t xml:space="preserve"> | 58 bis rue La Boétie 75008 Paris | +33 (0)1 53 76 99 99 | contact</w:t>
    </w:r>
    <w:r>
      <w:rPr>
        <w:i/>
        <w:iCs/>
        <w:color w:val="4A6381"/>
        <w:sz w:val="18"/>
        <w:szCs w:val="18"/>
      </w:rPr>
      <w:t>-spc</w:t>
    </w:r>
    <w:r w:rsidRPr="00514776">
      <w:rPr>
        <w:i/>
        <w:iCs/>
        <w:color w:val="4A6381"/>
        <w:sz w:val="18"/>
        <w:szCs w:val="18"/>
      </w:rPr>
      <w:t>@</w:t>
    </w:r>
    <w:r>
      <w:rPr>
        <w:i/>
        <w:iCs/>
        <w:color w:val="4A6381"/>
        <w:sz w:val="18"/>
        <w:szCs w:val="18"/>
      </w:rPr>
      <w:t>sienna-im</w:t>
    </w:r>
    <w:r w:rsidRPr="00514776">
      <w:rPr>
        <w:i/>
        <w:iCs/>
        <w:color w:val="4A6381"/>
        <w:sz w:val="18"/>
        <w:szCs w:val="18"/>
      </w:rPr>
      <w:t xml:space="preserve">.com </w:t>
    </w:r>
    <w:r>
      <w:rPr>
        <w:i/>
        <w:iCs/>
        <w:color w:val="4A6381"/>
        <w:sz w:val="18"/>
        <w:szCs w:val="18"/>
      </w:rPr>
      <w:t xml:space="preserve">| </w:t>
    </w:r>
    <w:r w:rsidR="00D6491A">
      <w:rPr>
        <w:i/>
        <w:iCs/>
        <w:color w:val="4A6381"/>
        <w:sz w:val="18"/>
        <w:szCs w:val="18"/>
      </w:rPr>
      <w:t>www.sienna-im.com</w:t>
    </w:r>
    <w:r w:rsidRPr="00E63B73">
      <w:rPr>
        <w:rStyle w:val="Lienhypertexte"/>
        <w:i/>
        <w:iCs/>
        <w:sz w:val="18"/>
        <w:szCs w:val="18"/>
        <w:u w:val="none"/>
      </w:rPr>
      <w:t xml:space="preserve">        </w:t>
    </w:r>
    <w:r w:rsidRPr="00C167A3">
      <w:rPr>
        <w:b/>
        <w:bCs/>
        <w:color w:val="4A6381"/>
      </w:rPr>
      <w:fldChar w:fldCharType="begin"/>
    </w:r>
    <w:r w:rsidRPr="00C167A3">
      <w:rPr>
        <w:b/>
        <w:bCs/>
        <w:color w:val="4A6381"/>
      </w:rPr>
      <w:instrText>PAGE   \* MERGEFORMAT</w:instrText>
    </w:r>
    <w:r w:rsidRPr="00C167A3">
      <w:rPr>
        <w:b/>
        <w:bCs/>
        <w:color w:val="4A6381"/>
      </w:rPr>
      <w:fldChar w:fldCharType="separate"/>
    </w:r>
    <w:r>
      <w:rPr>
        <w:b/>
        <w:bCs/>
        <w:color w:val="4A6381"/>
      </w:rPr>
      <w:t>1</w:t>
    </w:r>
    <w:r w:rsidRPr="00C167A3">
      <w:rPr>
        <w:b/>
        <w:bCs/>
        <w:color w:val="4A6381"/>
      </w:rPr>
      <w:fldChar w:fldCharType="end"/>
    </w:r>
  </w:p>
  <w:p w14:paraId="307721CC" w14:textId="33DD2E91" w:rsidR="00BA4854" w:rsidRPr="00BA4854" w:rsidRDefault="00BA4854" w:rsidP="00BA4854">
    <w:pPr>
      <w:pStyle w:val="Pieddepage"/>
      <w:tabs>
        <w:tab w:val="clear" w:pos="9072"/>
      </w:tabs>
      <w:ind w:right="-993"/>
      <w:rPr>
        <w:i/>
        <w:iCs/>
        <w:color w:val="4A6381"/>
        <w:sz w:val="18"/>
        <w:szCs w:val="18"/>
      </w:rPr>
    </w:pPr>
    <w:r>
      <w:rPr>
        <w:i/>
        <w:iCs/>
        <w:color w:val="4A6381"/>
        <w:sz w:val="18"/>
        <w:szCs w:val="18"/>
      </w:rPr>
      <w:tab/>
      <w:t xml:space="preserve">          </w:t>
    </w:r>
    <w:proofErr w:type="spellStart"/>
    <w:r>
      <w:rPr>
        <w:i/>
        <w:iCs/>
        <w:color w:val="4A6381"/>
        <w:sz w:val="18"/>
        <w:szCs w:val="18"/>
      </w:rPr>
      <w:t>Sienna</w:t>
    </w:r>
    <w:proofErr w:type="spellEnd"/>
    <w:r>
      <w:rPr>
        <w:i/>
        <w:iCs/>
        <w:color w:val="4A6381"/>
        <w:sz w:val="18"/>
        <w:szCs w:val="18"/>
      </w:rPr>
      <w:t xml:space="preserve"> </w:t>
    </w:r>
    <w:proofErr w:type="spellStart"/>
    <w:r>
      <w:rPr>
        <w:i/>
        <w:iCs/>
        <w:color w:val="4A6381"/>
        <w:sz w:val="18"/>
        <w:szCs w:val="18"/>
      </w:rPr>
      <w:t>Private</w:t>
    </w:r>
    <w:proofErr w:type="spellEnd"/>
    <w:r>
      <w:rPr>
        <w:i/>
        <w:iCs/>
        <w:color w:val="4A6381"/>
        <w:sz w:val="18"/>
        <w:szCs w:val="18"/>
      </w:rPr>
      <w:t xml:space="preserve"> </w:t>
    </w:r>
    <w:proofErr w:type="spellStart"/>
    <w:r>
      <w:rPr>
        <w:i/>
        <w:iCs/>
        <w:color w:val="4A6381"/>
        <w:sz w:val="18"/>
        <w:szCs w:val="18"/>
      </w:rPr>
      <w:t>Credit</w:t>
    </w:r>
    <w:proofErr w:type="spellEnd"/>
    <w:r>
      <w:rPr>
        <w:i/>
        <w:iCs/>
        <w:color w:val="4A6381"/>
        <w:sz w:val="18"/>
        <w:szCs w:val="18"/>
      </w:rPr>
      <w:t xml:space="preserve"> est la marque commerciale de </w:t>
    </w:r>
    <w:proofErr w:type="spellStart"/>
    <w:r>
      <w:rPr>
        <w:i/>
        <w:iCs/>
        <w:color w:val="4A6381"/>
        <w:sz w:val="18"/>
        <w:szCs w:val="18"/>
      </w:rPr>
      <w:t>Sienna</w:t>
    </w:r>
    <w:proofErr w:type="spellEnd"/>
    <w:r>
      <w:rPr>
        <w:i/>
        <w:iCs/>
        <w:color w:val="4A6381"/>
        <w:sz w:val="18"/>
        <w:szCs w:val="18"/>
      </w:rPr>
      <w:t xml:space="preserve"> AM France, une société de portefeuille agrée AMF n° GP97118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F054" w14:textId="77777777" w:rsidR="00A27B1A" w:rsidRDefault="00A27B1A" w:rsidP="002D641F">
      <w:r>
        <w:separator/>
      </w:r>
    </w:p>
  </w:footnote>
  <w:footnote w:type="continuationSeparator" w:id="0">
    <w:p w14:paraId="5948D848" w14:textId="77777777" w:rsidR="00A27B1A" w:rsidRDefault="00A27B1A" w:rsidP="002D641F">
      <w:r>
        <w:continuationSeparator/>
      </w:r>
    </w:p>
  </w:footnote>
  <w:footnote w:type="continuationNotice" w:id="1">
    <w:p w14:paraId="7E0C7E29" w14:textId="77777777" w:rsidR="00A27B1A" w:rsidRDefault="00A27B1A"/>
  </w:footnote>
  <w:footnote w:id="2">
    <w:p w14:paraId="33C3DD5A" w14:textId="77777777" w:rsidR="00312DDF" w:rsidRDefault="00312DDF" w:rsidP="00312DDF">
      <w:pPr>
        <w:pStyle w:val="Notedebasdepage"/>
      </w:pPr>
      <w:r w:rsidRPr="005D3E44">
        <w:rPr>
          <w:rStyle w:val="Appelnotedebasdep"/>
          <w:color w:val="002060"/>
        </w:rPr>
        <w:footnoteRef/>
      </w:r>
      <w:r w:rsidRPr="005D3E44">
        <w:rPr>
          <w:color w:val="002060"/>
        </w:rPr>
        <w:t xml:space="preserve">  </w:t>
      </w:r>
      <w:hyperlink r:id="rId1" w:history="1">
        <w:r w:rsidRPr="005D3E44">
          <w:rPr>
            <w:rStyle w:val="Lienhypertexte"/>
            <w:color w:val="002060"/>
          </w:rPr>
          <w:t>https://ec.europa.eu/eurostat/databrowser/view/GOV_10A_MAIN/default/table?lang=fr</w:t>
        </w:r>
      </w:hyperlink>
      <w:r w:rsidRPr="005D3E44">
        <w:rPr>
          <w:color w:val="002060"/>
        </w:rPr>
        <w:t xml:space="preserve"> et </w:t>
      </w:r>
      <w:hyperlink r:id="rId2" w:history="1">
        <w:r w:rsidRPr="005D3E44">
          <w:rPr>
            <w:rStyle w:val="Lienhypertexte"/>
            <w:color w:val="002060"/>
          </w:rPr>
          <w:t>Les comptes des administrations publiques locales en 2022 (lagazettedescommunes.com)</w:t>
        </w:r>
      </w:hyperlink>
    </w:p>
  </w:footnote>
  <w:footnote w:id="3">
    <w:p w14:paraId="7C0F8E73" w14:textId="77777777" w:rsidR="00312DDF" w:rsidRDefault="00312DDF" w:rsidP="00312DDF">
      <w:pPr>
        <w:pStyle w:val="Notedebasdepage"/>
      </w:pPr>
      <w:r w:rsidRPr="005D3E44">
        <w:rPr>
          <w:rStyle w:val="Appelnotedebasdep"/>
          <w:color w:val="002060"/>
        </w:rPr>
        <w:footnoteRef/>
      </w:r>
      <w:r w:rsidRPr="005D3E44">
        <w:rPr>
          <w:color w:val="002060"/>
        </w:rPr>
        <w:t xml:space="preserve"> J. Pisani-Ferry. S. Mahfouz. Les incidences économiques de l’action pour le climat. France Stratégie. Mai 2023 https://www.strategie.gouv.fr/publications/incidences-economiques-de-laction-climat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DB2" w14:textId="2BCE9F9F" w:rsidR="00BA4854" w:rsidRDefault="00BA4854">
    <w:pPr>
      <w:pStyle w:val="En-tte"/>
    </w:pPr>
    <w:r w:rsidRPr="00DB30D9">
      <w:rPr>
        <w:rFonts w:cstheme="minorHAnsi"/>
        <w:noProof/>
      </w:rPr>
      <w:drawing>
        <wp:anchor distT="0" distB="0" distL="114300" distR="114300" simplePos="0" relativeHeight="251669504" behindDoc="0" locked="0" layoutInCell="1" allowOverlap="1" wp14:anchorId="30CE679C" wp14:editId="645073B3">
          <wp:simplePos x="0" y="0"/>
          <wp:positionH relativeFrom="column">
            <wp:posOffset>-698739</wp:posOffset>
          </wp:positionH>
          <wp:positionV relativeFrom="paragraph">
            <wp:posOffset>-415446</wp:posOffset>
          </wp:positionV>
          <wp:extent cx="1266825" cy="650317"/>
          <wp:effectExtent l="0" t="0" r="0" b="0"/>
          <wp:wrapNone/>
          <wp:docPr id="8" name="Image 8" descr="Une image contenant logo&#10;&#10;Description générée automatiquement">
            <a:extLst xmlns:a="http://schemas.openxmlformats.org/drawingml/2006/main">
              <a:ext uri="{FF2B5EF4-FFF2-40B4-BE49-F238E27FC236}">
                <a16:creationId xmlns:a16="http://schemas.microsoft.com/office/drawing/2014/main" id="{F3F41ABA-E408-4D6A-AFCE-6540C54F8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logo&#10;&#10;Description générée automatiquement">
                    <a:extLst>
                      <a:ext uri="{FF2B5EF4-FFF2-40B4-BE49-F238E27FC236}">
                        <a16:creationId xmlns:a16="http://schemas.microsoft.com/office/drawing/2014/main" id="{F3F41ABA-E408-4D6A-AFCE-6540C54F83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650317"/>
                  </a:xfrm>
                  <a:prstGeom prst="rect">
                    <a:avLst/>
                  </a:prstGeom>
                </pic:spPr>
              </pic:pic>
            </a:graphicData>
          </a:graphic>
          <wp14:sizeRelH relativeFrom="margin">
            <wp14:pctWidth>0</wp14:pctWidth>
          </wp14:sizeRelH>
          <wp14:sizeRelV relativeFrom="margin">
            <wp14:pctHeight>0</wp14:pctHeight>
          </wp14:sizeRelV>
        </wp:anchor>
      </w:drawing>
    </w:r>
    <w:r w:rsidRPr="00DB30D9">
      <w:rPr>
        <w:rFonts w:cstheme="minorHAnsi"/>
        <w:noProof/>
        <w:color w:val="0D284B" w:themeColor="text1"/>
        <w:sz w:val="24"/>
        <w:szCs w:val="24"/>
      </w:rPr>
      <mc:AlternateContent>
        <mc:Choice Requires="wps">
          <w:drawing>
            <wp:anchor distT="0" distB="0" distL="114300" distR="114300" simplePos="0" relativeHeight="251667456" behindDoc="0" locked="0" layoutInCell="1" allowOverlap="1" wp14:anchorId="14CB2522" wp14:editId="42AD1007">
              <wp:simplePos x="0" y="0"/>
              <wp:positionH relativeFrom="column">
                <wp:posOffset>-957532</wp:posOffset>
              </wp:positionH>
              <wp:positionV relativeFrom="paragraph">
                <wp:posOffset>-431955</wp:posOffset>
              </wp:positionV>
              <wp:extent cx="9144000" cy="666750"/>
              <wp:effectExtent l="0" t="0" r="0" b="0"/>
              <wp:wrapNone/>
              <wp:docPr id="5" name="Graphic 4"/>
              <wp:cNvGraphicFramePr/>
              <a:graphic xmlns:a="http://schemas.openxmlformats.org/drawingml/2006/main">
                <a:graphicData uri="http://schemas.microsoft.com/office/word/2010/wordprocessingShape">
                  <wps:wsp>
                    <wps:cNvSpPr/>
                    <wps:spPr bwMode="gray">
                      <a:xfrm>
                        <a:off x="0" y="0"/>
                        <a:ext cx="9144000" cy="666750"/>
                      </a:xfrm>
                      <a:custGeom>
                        <a:avLst/>
                        <a:gdLst>
                          <a:gd name="connsiteX0" fmla="*/ 0 w 9144000"/>
                          <a:gd name="connsiteY0" fmla="*/ 5958840 h 5958840"/>
                          <a:gd name="connsiteX1" fmla="*/ 9144000 w 9144000"/>
                          <a:gd name="connsiteY1" fmla="*/ 2335022 h 5958840"/>
                          <a:gd name="connsiteX2" fmla="*/ 9144000 w 9144000"/>
                          <a:gd name="connsiteY2" fmla="*/ 0 h 5958840"/>
                          <a:gd name="connsiteX3" fmla="*/ 0 w 9144000"/>
                          <a:gd name="connsiteY3" fmla="*/ 0 h 5958840"/>
                        </a:gdLst>
                        <a:ahLst/>
                        <a:cxnLst>
                          <a:cxn ang="0">
                            <a:pos x="connsiteX0" y="connsiteY0"/>
                          </a:cxn>
                          <a:cxn ang="0">
                            <a:pos x="connsiteX1" y="connsiteY1"/>
                          </a:cxn>
                          <a:cxn ang="0">
                            <a:pos x="connsiteX2" y="connsiteY2"/>
                          </a:cxn>
                          <a:cxn ang="0">
                            <a:pos x="connsiteX3" y="connsiteY3"/>
                          </a:cxn>
                        </a:cxnLst>
                        <a:rect l="l" t="t" r="r" b="b"/>
                        <a:pathLst>
                          <a:path w="9144000" h="5958840">
                            <a:moveTo>
                              <a:pt x="0" y="5958840"/>
                            </a:moveTo>
                            <a:lnTo>
                              <a:pt x="9144000" y="2335022"/>
                            </a:lnTo>
                            <a:lnTo>
                              <a:pt x="9144000" y="0"/>
                            </a:lnTo>
                            <a:lnTo>
                              <a:pt x="0" y="0"/>
                            </a:lnTo>
                            <a:close/>
                          </a:path>
                        </a:pathLst>
                      </a:custGeom>
                      <a:solidFill>
                        <a:srgbClr val="0D284B"/>
                      </a:solidFill>
                      <a:ln w="12700" cap="flat">
                        <a:noFill/>
                        <a:prstDash val="solid"/>
                        <a:miter/>
                      </a:ln>
                    </wps:spPr>
                    <wps:bodyPr rtlCol="0" anchor="ctr">
                      <a:noAutofit/>
                    </wps:bodyPr>
                  </wps:wsp>
                </a:graphicData>
              </a:graphic>
              <wp14:sizeRelV relativeFrom="margin">
                <wp14:pctHeight>0</wp14:pctHeight>
              </wp14:sizeRelV>
            </wp:anchor>
          </w:drawing>
        </mc:Choice>
        <mc:Fallback>
          <w:pict>
            <v:shape w14:anchorId="522D5303" id="Graphic 4" o:spid="_x0000_s1026" style="position:absolute;margin-left:-75.4pt;margin-top:-34pt;width:10in;height: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0,5958840"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" path="m,5958840l9144000,2335022,9144000,,,,,5958840xe" fillcolor="#0d284b" stroked="f" strokeweight="1pt">
              <v:stroke joinstyle="miter"/>
              <v:path arrowok="t" o:connecttype="custom" o:connectlocs="0,666750;9144000,261272;9144000,0;0,0" o:connectangles="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9FA6" w14:textId="1743387A" w:rsidR="00BA4854" w:rsidRDefault="00BA4854">
    <w:pPr>
      <w:pStyle w:val="En-tte"/>
    </w:pPr>
    <w:r w:rsidRPr="00DB30D9">
      <w:rPr>
        <w:rFonts w:cstheme="minorHAnsi"/>
        <w:noProof/>
      </w:rPr>
      <w:drawing>
        <wp:anchor distT="0" distB="0" distL="114300" distR="114300" simplePos="0" relativeHeight="251665408" behindDoc="0" locked="0" layoutInCell="1" allowOverlap="1" wp14:anchorId="08DA585F" wp14:editId="6D239149">
          <wp:simplePos x="0" y="0"/>
          <wp:positionH relativeFrom="column">
            <wp:posOffset>-718269</wp:posOffset>
          </wp:positionH>
          <wp:positionV relativeFrom="paragraph">
            <wp:posOffset>-449748</wp:posOffset>
          </wp:positionV>
          <wp:extent cx="1266825" cy="650317"/>
          <wp:effectExtent l="0" t="0" r="0" b="0"/>
          <wp:wrapNone/>
          <wp:docPr id="14" name="Image 13" descr="Une image contenant logo&#10;&#10;Description générée automatiquement">
            <a:extLst xmlns:a="http://schemas.openxmlformats.org/drawingml/2006/main">
              <a:ext uri="{FF2B5EF4-FFF2-40B4-BE49-F238E27FC236}">
                <a16:creationId xmlns:a16="http://schemas.microsoft.com/office/drawing/2014/main" id="{F3F41ABA-E408-4D6A-AFCE-6540C54F8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logo&#10;&#10;Description générée automatiquement">
                    <a:extLst>
                      <a:ext uri="{FF2B5EF4-FFF2-40B4-BE49-F238E27FC236}">
                        <a16:creationId xmlns:a16="http://schemas.microsoft.com/office/drawing/2014/main" id="{F3F41ABA-E408-4D6A-AFCE-6540C54F83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650317"/>
                  </a:xfrm>
                  <a:prstGeom prst="rect">
                    <a:avLst/>
                  </a:prstGeom>
                </pic:spPr>
              </pic:pic>
            </a:graphicData>
          </a:graphic>
          <wp14:sizeRelH relativeFrom="margin">
            <wp14:pctWidth>0</wp14:pctWidth>
          </wp14:sizeRelH>
          <wp14:sizeRelV relativeFrom="margin">
            <wp14:pctHeight>0</wp14:pctHeight>
          </wp14:sizeRelV>
        </wp:anchor>
      </w:drawing>
    </w:r>
    <w:r w:rsidRPr="00DB30D9">
      <w:rPr>
        <w:rFonts w:cstheme="minorHAnsi"/>
        <w:noProof/>
        <w:color w:val="0D284B" w:themeColor="text1"/>
        <w:sz w:val="24"/>
        <w:szCs w:val="24"/>
      </w:rPr>
      <mc:AlternateContent>
        <mc:Choice Requires="wps">
          <w:drawing>
            <wp:anchor distT="0" distB="0" distL="114300" distR="114300" simplePos="0" relativeHeight="251663360" behindDoc="0" locked="0" layoutInCell="1" allowOverlap="1" wp14:anchorId="169ACE89" wp14:editId="56EE106E">
              <wp:simplePos x="0" y="0"/>
              <wp:positionH relativeFrom="column">
                <wp:posOffset>-908050</wp:posOffset>
              </wp:positionH>
              <wp:positionV relativeFrom="paragraph">
                <wp:posOffset>-466258</wp:posOffset>
              </wp:positionV>
              <wp:extent cx="9144000" cy="666750"/>
              <wp:effectExtent l="0" t="0" r="0" b="0"/>
              <wp:wrapNone/>
              <wp:docPr id="3" name="Graphic 4"/>
              <wp:cNvGraphicFramePr/>
              <a:graphic xmlns:a="http://schemas.openxmlformats.org/drawingml/2006/main">
                <a:graphicData uri="http://schemas.microsoft.com/office/word/2010/wordprocessingShape">
                  <wps:wsp>
                    <wps:cNvSpPr/>
                    <wps:spPr bwMode="gray">
                      <a:xfrm>
                        <a:off x="0" y="0"/>
                        <a:ext cx="9144000" cy="666750"/>
                      </a:xfrm>
                      <a:custGeom>
                        <a:avLst/>
                        <a:gdLst>
                          <a:gd name="connsiteX0" fmla="*/ 0 w 9144000"/>
                          <a:gd name="connsiteY0" fmla="*/ 5958840 h 5958840"/>
                          <a:gd name="connsiteX1" fmla="*/ 9144000 w 9144000"/>
                          <a:gd name="connsiteY1" fmla="*/ 2335022 h 5958840"/>
                          <a:gd name="connsiteX2" fmla="*/ 9144000 w 9144000"/>
                          <a:gd name="connsiteY2" fmla="*/ 0 h 5958840"/>
                          <a:gd name="connsiteX3" fmla="*/ 0 w 9144000"/>
                          <a:gd name="connsiteY3" fmla="*/ 0 h 5958840"/>
                        </a:gdLst>
                        <a:ahLst/>
                        <a:cxnLst>
                          <a:cxn ang="0">
                            <a:pos x="connsiteX0" y="connsiteY0"/>
                          </a:cxn>
                          <a:cxn ang="0">
                            <a:pos x="connsiteX1" y="connsiteY1"/>
                          </a:cxn>
                          <a:cxn ang="0">
                            <a:pos x="connsiteX2" y="connsiteY2"/>
                          </a:cxn>
                          <a:cxn ang="0">
                            <a:pos x="connsiteX3" y="connsiteY3"/>
                          </a:cxn>
                        </a:cxnLst>
                        <a:rect l="l" t="t" r="r" b="b"/>
                        <a:pathLst>
                          <a:path w="9144000" h="5958840">
                            <a:moveTo>
                              <a:pt x="0" y="5958840"/>
                            </a:moveTo>
                            <a:lnTo>
                              <a:pt x="9144000" y="2335022"/>
                            </a:lnTo>
                            <a:lnTo>
                              <a:pt x="9144000" y="0"/>
                            </a:lnTo>
                            <a:lnTo>
                              <a:pt x="0" y="0"/>
                            </a:lnTo>
                            <a:close/>
                          </a:path>
                        </a:pathLst>
                      </a:custGeom>
                      <a:solidFill>
                        <a:srgbClr val="0D284B"/>
                      </a:solidFill>
                      <a:ln w="12700" cap="flat">
                        <a:noFill/>
                        <a:prstDash val="solid"/>
                        <a:miter/>
                      </a:ln>
                    </wps:spPr>
                    <wps:bodyPr rtlCol="0" anchor="ctr">
                      <a:noAutofit/>
                    </wps:bodyPr>
                  </wps:wsp>
                </a:graphicData>
              </a:graphic>
              <wp14:sizeRelV relativeFrom="margin">
                <wp14:pctHeight>0</wp14:pctHeight>
              </wp14:sizeRelV>
            </wp:anchor>
          </w:drawing>
        </mc:Choice>
        <mc:Fallback>
          <w:pict>
            <v:shape w14:anchorId="00B5B810" id="Graphic 4" o:spid="_x0000_s1026" style="position:absolute;margin-left:-71.5pt;margin-top:-36.7pt;width:10in;height: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0,5958840"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" path="m,5958840l9144000,2335022,9144000,,,,,5958840xe" fillcolor="#0d284b" stroked="f" strokeweight="1pt">
              <v:stroke joinstyle="miter"/>
              <v:path arrowok="t" o:connecttype="custom" o:connectlocs="0,666750;9144000,261272;9144000,0;0,0" o:connectangles="0,0,0,0"/>
            </v:shape>
          </w:pict>
        </mc:Fallback>
      </mc:AlternateContent>
    </w:r>
    <w:r w:rsidRPr="00C0062F">
      <w:rPr>
        <w:rFonts w:cstheme="minorHAnsi"/>
        <w:noProof/>
        <w:color w:val="0D284B" w:themeColor="text1"/>
        <w:sz w:val="24"/>
        <w:szCs w:val="24"/>
      </w:rPr>
      <w:drawing>
        <wp:anchor distT="0" distB="0" distL="114300" distR="114300" simplePos="0" relativeHeight="251661312" behindDoc="1" locked="0" layoutInCell="1" allowOverlap="1" wp14:anchorId="149B8744" wp14:editId="580F55FD">
          <wp:simplePos x="0" y="0"/>
          <wp:positionH relativeFrom="column">
            <wp:posOffset>-905774</wp:posOffset>
          </wp:positionH>
          <wp:positionV relativeFrom="paragraph">
            <wp:posOffset>-388824</wp:posOffset>
          </wp:positionV>
          <wp:extent cx="7731125" cy="800038"/>
          <wp:effectExtent l="0" t="0" r="3175" b="635"/>
          <wp:wrapNone/>
          <wp:docPr id="7" name="Image 3" descr="Une image contenant extérieur, ciel, herbe, nature&#10;&#10;Description générée automatiquement">
            <a:extLst xmlns:a="http://schemas.openxmlformats.org/drawingml/2006/main">
              <a:ext uri="{FF2B5EF4-FFF2-40B4-BE49-F238E27FC236}">
                <a16:creationId xmlns:a16="http://schemas.microsoft.com/office/drawing/2014/main" id="{808A5608-BB1B-4872-B95F-BD5CCD2F21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extérieur, ciel, herbe, nature&#10;&#10;Description générée automatiquement">
                    <a:extLst>
                      <a:ext uri="{FF2B5EF4-FFF2-40B4-BE49-F238E27FC236}">
                        <a16:creationId xmlns:a16="http://schemas.microsoft.com/office/drawing/2014/main" id="{808A5608-BB1B-4872-B95F-BD5CCD2F214E}"/>
                      </a:ext>
                    </a:extLst>
                  </pic:cNvPr>
                  <pic:cNvPicPr>
                    <a:picLocks noChangeAspect="1"/>
                  </pic:cNvPicPr>
                </pic:nvPicPr>
                <pic:blipFill rotWithShape="1">
                  <a:blip r:embed="rId2">
                    <a:extLst>
                      <a:ext uri="{28A0092B-C50C-407E-A947-70E740481C1C}">
                        <a14:useLocalDpi xmlns:a14="http://schemas.microsoft.com/office/drawing/2010/main" val="0"/>
                      </a:ext>
                    </a:extLst>
                  </a:blip>
                  <a:srcRect l="-106" t="59756" r="106" b="24740"/>
                  <a:stretch/>
                </pic:blipFill>
                <pic:spPr bwMode="auto">
                  <a:xfrm>
                    <a:off x="0" y="0"/>
                    <a:ext cx="7731125" cy="800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511"/>
    <w:multiLevelType w:val="hybridMultilevel"/>
    <w:tmpl w:val="B2DE5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971C0"/>
    <w:multiLevelType w:val="hybridMultilevel"/>
    <w:tmpl w:val="CB087F0C"/>
    <w:lvl w:ilvl="0" w:tplc="CB226BF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DD7BA9"/>
    <w:multiLevelType w:val="hybridMultilevel"/>
    <w:tmpl w:val="2AE4FC6A"/>
    <w:lvl w:ilvl="0" w:tplc="D82EFF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1B7015"/>
    <w:multiLevelType w:val="hybridMultilevel"/>
    <w:tmpl w:val="3BEC5F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3E5DF3"/>
    <w:multiLevelType w:val="hybridMultilevel"/>
    <w:tmpl w:val="4CF24162"/>
    <w:lvl w:ilvl="0" w:tplc="5FBC39A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AB5290"/>
    <w:multiLevelType w:val="hybridMultilevel"/>
    <w:tmpl w:val="6E52D570"/>
    <w:lvl w:ilvl="0" w:tplc="E558E98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985503902">
    <w:abstractNumId w:val="5"/>
  </w:num>
  <w:num w:numId="2" w16cid:durableId="492531800">
    <w:abstractNumId w:val="2"/>
  </w:num>
  <w:num w:numId="3" w16cid:durableId="882408253">
    <w:abstractNumId w:val="3"/>
  </w:num>
  <w:num w:numId="4" w16cid:durableId="626005936">
    <w:abstractNumId w:val="0"/>
  </w:num>
  <w:num w:numId="5" w16cid:durableId="254479669">
    <w:abstractNumId w:val="1"/>
  </w:num>
  <w:num w:numId="6" w16cid:durableId="109289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23"/>
    <w:rsid w:val="000032A6"/>
    <w:rsid w:val="000168F5"/>
    <w:rsid w:val="00034C96"/>
    <w:rsid w:val="00060A46"/>
    <w:rsid w:val="00083DFD"/>
    <w:rsid w:val="00091F75"/>
    <w:rsid w:val="000977E1"/>
    <w:rsid w:val="000B188A"/>
    <w:rsid w:val="000F7DDB"/>
    <w:rsid w:val="00111E9E"/>
    <w:rsid w:val="00112ED0"/>
    <w:rsid w:val="0012081B"/>
    <w:rsid w:val="00133E16"/>
    <w:rsid w:val="00152A1B"/>
    <w:rsid w:val="00155BDE"/>
    <w:rsid w:val="00180A7F"/>
    <w:rsid w:val="00181008"/>
    <w:rsid w:val="001A1B4C"/>
    <w:rsid w:val="001B19D0"/>
    <w:rsid w:val="001E273C"/>
    <w:rsid w:val="0020104E"/>
    <w:rsid w:val="00233077"/>
    <w:rsid w:val="00254B9F"/>
    <w:rsid w:val="002564BE"/>
    <w:rsid w:val="0027224A"/>
    <w:rsid w:val="002758D7"/>
    <w:rsid w:val="00286E05"/>
    <w:rsid w:val="002D641F"/>
    <w:rsid w:val="002E3A57"/>
    <w:rsid w:val="002E7C68"/>
    <w:rsid w:val="002F62A0"/>
    <w:rsid w:val="00312DDF"/>
    <w:rsid w:val="00314710"/>
    <w:rsid w:val="00326370"/>
    <w:rsid w:val="00355969"/>
    <w:rsid w:val="00371B23"/>
    <w:rsid w:val="0037636E"/>
    <w:rsid w:val="003844A7"/>
    <w:rsid w:val="00384FA0"/>
    <w:rsid w:val="003A0620"/>
    <w:rsid w:val="003A2E7C"/>
    <w:rsid w:val="003C06DB"/>
    <w:rsid w:val="003C28B4"/>
    <w:rsid w:val="003D0956"/>
    <w:rsid w:val="003D6B33"/>
    <w:rsid w:val="003F1014"/>
    <w:rsid w:val="003F568A"/>
    <w:rsid w:val="0040000A"/>
    <w:rsid w:val="00446269"/>
    <w:rsid w:val="004652EF"/>
    <w:rsid w:val="00483BF8"/>
    <w:rsid w:val="004F1835"/>
    <w:rsid w:val="005119B6"/>
    <w:rsid w:val="00514776"/>
    <w:rsid w:val="00533DB3"/>
    <w:rsid w:val="00592E55"/>
    <w:rsid w:val="005A576F"/>
    <w:rsid w:val="005D3E29"/>
    <w:rsid w:val="005D3E44"/>
    <w:rsid w:val="006207FD"/>
    <w:rsid w:val="006305E6"/>
    <w:rsid w:val="006521FC"/>
    <w:rsid w:val="0067302C"/>
    <w:rsid w:val="006802CB"/>
    <w:rsid w:val="00694FF3"/>
    <w:rsid w:val="00695F5E"/>
    <w:rsid w:val="006E73E1"/>
    <w:rsid w:val="006F6F31"/>
    <w:rsid w:val="00706A52"/>
    <w:rsid w:val="007215A5"/>
    <w:rsid w:val="007321F3"/>
    <w:rsid w:val="007360FD"/>
    <w:rsid w:val="00740049"/>
    <w:rsid w:val="00741978"/>
    <w:rsid w:val="00762735"/>
    <w:rsid w:val="007723C9"/>
    <w:rsid w:val="00792CDF"/>
    <w:rsid w:val="007C62BB"/>
    <w:rsid w:val="007F460D"/>
    <w:rsid w:val="008205BC"/>
    <w:rsid w:val="00835D37"/>
    <w:rsid w:val="00846AB0"/>
    <w:rsid w:val="008A5847"/>
    <w:rsid w:val="008D385E"/>
    <w:rsid w:val="008D40EF"/>
    <w:rsid w:val="008E41FF"/>
    <w:rsid w:val="00914356"/>
    <w:rsid w:val="0094264F"/>
    <w:rsid w:val="00942812"/>
    <w:rsid w:val="00973964"/>
    <w:rsid w:val="009A2A2D"/>
    <w:rsid w:val="009E439F"/>
    <w:rsid w:val="009F7386"/>
    <w:rsid w:val="00A12299"/>
    <w:rsid w:val="00A27B1A"/>
    <w:rsid w:val="00A66AEE"/>
    <w:rsid w:val="00A909BC"/>
    <w:rsid w:val="00A94EC5"/>
    <w:rsid w:val="00AE0DE5"/>
    <w:rsid w:val="00B054E6"/>
    <w:rsid w:val="00B234F4"/>
    <w:rsid w:val="00B2670D"/>
    <w:rsid w:val="00B44274"/>
    <w:rsid w:val="00B76F2A"/>
    <w:rsid w:val="00B93331"/>
    <w:rsid w:val="00BA4854"/>
    <w:rsid w:val="00BA4FD5"/>
    <w:rsid w:val="00BB2E70"/>
    <w:rsid w:val="00BC09F6"/>
    <w:rsid w:val="00BE506D"/>
    <w:rsid w:val="00C0062F"/>
    <w:rsid w:val="00C10560"/>
    <w:rsid w:val="00C167A3"/>
    <w:rsid w:val="00C33C9D"/>
    <w:rsid w:val="00C54677"/>
    <w:rsid w:val="00C97A6E"/>
    <w:rsid w:val="00CB6CF1"/>
    <w:rsid w:val="00D6491A"/>
    <w:rsid w:val="00DA09B8"/>
    <w:rsid w:val="00DB30D9"/>
    <w:rsid w:val="00DB4B7B"/>
    <w:rsid w:val="00DD3674"/>
    <w:rsid w:val="00E13689"/>
    <w:rsid w:val="00E2441A"/>
    <w:rsid w:val="00E35FDD"/>
    <w:rsid w:val="00E83044"/>
    <w:rsid w:val="00EA2527"/>
    <w:rsid w:val="00F032C2"/>
    <w:rsid w:val="00F104CE"/>
    <w:rsid w:val="00F10569"/>
    <w:rsid w:val="00F117A9"/>
    <w:rsid w:val="00F43F32"/>
    <w:rsid w:val="00F7694C"/>
    <w:rsid w:val="00F81614"/>
    <w:rsid w:val="00FB2552"/>
    <w:rsid w:val="00FB2922"/>
    <w:rsid w:val="00FF2DE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19BEDA"/>
  <w15:chartTrackingRefBased/>
  <w15:docId w15:val="{CFBAA4EF-6727-4570-8C56-912C2904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23"/>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1B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1B23"/>
    <w:rPr>
      <w:rFonts w:ascii="Segoe UI" w:hAnsi="Segoe UI" w:cs="Segoe UI"/>
      <w:sz w:val="18"/>
      <w:szCs w:val="18"/>
    </w:rPr>
  </w:style>
  <w:style w:type="table" w:styleId="Grilledutableau">
    <w:name w:val="Table Grid"/>
    <w:basedOn w:val="TableauNormal"/>
    <w:uiPriority w:val="39"/>
    <w:rsid w:val="003F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E439F"/>
    <w:rPr>
      <w:b/>
      <w:bCs/>
    </w:rPr>
  </w:style>
  <w:style w:type="paragraph" w:styleId="Paragraphedeliste">
    <w:name w:val="List Paragraph"/>
    <w:basedOn w:val="Normal"/>
    <w:uiPriority w:val="34"/>
    <w:qFormat/>
    <w:rsid w:val="00E2441A"/>
    <w:pPr>
      <w:ind w:left="720"/>
    </w:pPr>
    <w:rPr>
      <w:rFonts w:ascii="Calibri" w:hAnsi="Calibri" w:cs="Calibri"/>
    </w:rPr>
  </w:style>
  <w:style w:type="paragraph" w:styleId="En-tte">
    <w:name w:val="header"/>
    <w:basedOn w:val="Normal"/>
    <w:link w:val="En-tteCar"/>
    <w:uiPriority w:val="99"/>
    <w:unhideWhenUsed/>
    <w:rsid w:val="002D641F"/>
    <w:pPr>
      <w:tabs>
        <w:tab w:val="center" w:pos="4536"/>
        <w:tab w:val="right" w:pos="9072"/>
      </w:tabs>
    </w:pPr>
  </w:style>
  <w:style w:type="character" w:customStyle="1" w:styleId="En-tteCar">
    <w:name w:val="En-tête Car"/>
    <w:basedOn w:val="Policepardfaut"/>
    <w:link w:val="En-tte"/>
    <w:uiPriority w:val="99"/>
    <w:rsid w:val="002D641F"/>
  </w:style>
  <w:style w:type="paragraph" w:styleId="Pieddepage">
    <w:name w:val="footer"/>
    <w:basedOn w:val="Normal"/>
    <w:link w:val="PieddepageCar"/>
    <w:uiPriority w:val="99"/>
    <w:unhideWhenUsed/>
    <w:rsid w:val="002D641F"/>
    <w:pPr>
      <w:tabs>
        <w:tab w:val="center" w:pos="4536"/>
        <w:tab w:val="right" w:pos="9072"/>
      </w:tabs>
    </w:pPr>
  </w:style>
  <w:style w:type="character" w:customStyle="1" w:styleId="PieddepageCar">
    <w:name w:val="Pied de page Car"/>
    <w:basedOn w:val="Policepardfaut"/>
    <w:link w:val="Pieddepage"/>
    <w:uiPriority w:val="99"/>
    <w:rsid w:val="002D641F"/>
  </w:style>
  <w:style w:type="character" w:styleId="Marquedecommentaire">
    <w:name w:val="annotation reference"/>
    <w:basedOn w:val="Policepardfaut"/>
    <w:uiPriority w:val="99"/>
    <w:semiHidden/>
    <w:unhideWhenUsed/>
    <w:rsid w:val="00F104CE"/>
    <w:rPr>
      <w:sz w:val="16"/>
      <w:szCs w:val="16"/>
    </w:rPr>
  </w:style>
  <w:style w:type="paragraph" w:styleId="Commentaire">
    <w:name w:val="annotation text"/>
    <w:basedOn w:val="Normal"/>
    <w:link w:val="CommentaireCar"/>
    <w:uiPriority w:val="99"/>
    <w:semiHidden/>
    <w:unhideWhenUsed/>
    <w:rsid w:val="00F104CE"/>
    <w:rPr>
      <w:sz w:val="20"/>
      <w:szCs w:val="20"/>
    </w:rPr>
  </w:style>
  <w:style w:type="character" w:customStyle="1" w:styleId="CommentaireCar">
    <w:name w:val="Commentaire Car"/>
    <w:basedOn w:val="Policepardfaut"/>
    <w:link w:val="Commentaire"/>
    <w:uiPriority w:val="99"/>
    <w:semiHidden/>
    <w:rsid w:val="00F104CE"/>
    <w:rPr>
      <w:sz w:val="20"/>
      <w:szCs w:val="20"/>
    </w:rPr>
  </w:style>
  <w:style w:type="paragraph" w:styleId="Objetducommentaire">
    <w:name w:val="annotation subject"/>
    <w:basedOn w:val="Commentaire"/>
    <w:next w:val="Commentaire"/>
    <w:link w:val="ObjetducommentaireCar"/>
    <w:uiPriority w:val="99"/>
    <w:semiHidden/>
    <w:unhideWhenUsed/>
    <w:rsid w:val="00F104CE"/>
    <w:rPr>
      <w:b/>
      <w:bCs/>
    </w:rPr>
  </w:style>
  <w:style w:type="character" w:customStyle="1" w:styleId="ObjetducommentaireCar">
    <w:name w:val="Objet du commentaire Car"/>
    <w:basedOn w:val="CommentaireCar"/>
    <w:link w:val="Objetducommentaire"/>
    <w:uiPriority w:val="99"/>
    <w:semiHidden/>
    <w:rsid w:val="00F104CE"/>
    <w:rPr>
      <w:b/>
      <w:bCs/>
      <w:sz w:val="20"/>
      <w:szCs w:val="20"/>
    </w:rPr>
  </w:style>
  <w:style w:type="character" w:styleId="Lienhypertexte">
    <w:name w:val="Hyperlink"/>
    <w:basedOn w:val="Policepardfaut"/>
    <w:uiPriority w:val="99"/>
    <w:unhideWhenUsed/>
    <w:rsid w:val="00514776"/>
    <w:rPr>
      <w:color w:val="00B050" w:themeColor="hyperlink"/>
      <w:u w:val="single"/>
    </w:rPr>
  </w:style>
  <w:style w:type="character" w:styleId="Mentionnonrsolue">
    <w:name w:val="Unresolved Mention"/>
    <w:basedOn w:val="Policepardfaut"/>
    <w:uiPriority w:val="99"/>
    <w:semiHidden/>
    <w:unhideWhenUsed/>
    <w:rsid w:val="00514776"/>
    <w:rPr>
      <w:color w:val="605E5C"/>
      <w:shd w:val="clear" w:color="auto" w:fill="E1DFDD"/>
    </w:rPr>
  </w:style>
  <w:style w:type="paragraph" w:styleId="Notedebasdepage">
    <w:name w:val="footnote text"/>
    <w:basedOn w:val="Normal"/>
    <w:link w:val="NotedebasdepageCar"/>
    <w:uiPriority w:val="99"/>
    <w:semiHidden/>
    <w:unhideWhenUsed/>
    <w:rsid w:val="00312DDF"/>
    <w:rPr>
      <w:rFonts w:eastAsiaTheme="minorEastAsia"/>
      <w:kern w:val="2"/>
      <w:sz w:val="20"/>
      <w:szCs w:val="20"/>
      <w:lang w:eastAsia="ko-KR"/>
      <w14:ligatures w14:val="standardContextual"/>
    </w:rPr>
  </w:style>
  <w:style w:type="character" w:customStyle="1" w:styleId="NotedebasdepageCar">
    <w:name w:val="Note de bas de page Car"/>
    <w:basedOn w:val="Policepardfaut"/>
    <w:link w:val="Notedebasdepage"/>
    <w:uiPriority w:val="99"/>
    <w:semiHidden/>
    <w:rsid w:val="00312DDF"/>
    <w:rPr>
      <w:rFonts w:eastAsiaTheme="minorEastAsia"/>
      <w:kern w:val="2"/>
      <w:sz w:val="20"/>
      <w:szCs w:val="20"/>
      <w:lang w:eastAsia="ko-KR"/>
      <w14:ligatures w14:val="standardContextual"/>
    </w:rPr>
  </w:style>
  <w:style w:type="character" w:styleId="Appelnotedebasdep">
    <w:name w:val="footnote reference"/>
    <w:basedOn w:val="Policepardfaut"/>
    <w:uiPriority w:val="99"/>
    <w:semiHidden/>
    <w:unhideWhenUsed/>
    <w:rsid w:val="00312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3579">
      <w:bodyDiv w:val="1"/>
      <w:marLeft w:val="0"/>
      <w:marRight w:val="0"/>
      <w:marTop w:val="0"/>
      <w:marBottom w:val="0"/>
      <w:divBdr>
        <w:top w:val="none" w:sz="0" w:space="0" w:color="auto"/>
        <w:left w:val="none" w:sz="0" w:space="0" w:color="auto"/>
        <w:bottom w:val="none" w:sz="0" w:space="0" w:color="auto"/>
        <w:right w:val="none" w:sz="0" w:space="0" w:color="auto"/>
      </w:divBdr>
    </w:div>
    <w:div w:id="413936800">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1113206422">
      <w:bodyDiv w:val="1"/>
      <w:marLeft w:val="0"/>
      <w:marRight w:val="0"/>
      <w:marTop w:val="0"/>
      <w:marBottom w:val="0"/>
      <w:divBdr>
        <w:top w:val="none" w:sz="0" w:space="0" w:color="auto"/>
        <w:left w:val="none" w:sz="0" w:space="0" w:color="auto"/>
        <w:bottom w:val="none" w:sz="0" w:space="0" w:color="auto"/>
        <w:right w:val="none" w:sz="0" w:space="0" w:color="auto"/>
      </w:divBdr>
    </w:div>
    <w:div w:id="1219242333">
      <w:bodyDiv w:val="1"/>
      <w:marLeft w:val="0"/>
      <w:marRight w:val="0"/>
      <w:marTop w:val="0"/>
      <w:marBottom w:val="0"/>
      <w:divBdr>
        <w:top w:val="none" w:sz="0" w:space="0" w:color="auto"/>
        <w:left w:val="none" w:sz="0" w:space="0" w:color="auto"/>
        <w:bottom w:val="none" w:sz="0" w:space="0" w:color="auto"/>
        <w:right w:val="none" w:sz="0" w:space="0" w:color="auto"/>
      </w:divBdr>
    </w:div>
    <w:div w:id="1445535065">
      <w:bodyDiv w:val="1"/>
      <w:marLeft w:val="0"/>
      <w:marRight w:val="0"/>
      <w:marTop w:val="0"/>
      <w:marBottom w:val="0"/>
      <w:divBdr>
        <w:top w:val="none" w:sz="0" w:space="0" w:color="auto"/>
        <w:left w:val="none" w:sz="0" w:space="0" w:color="auto"/>
        <w:bottom w:val="none" w:sz="0" w:space="0" w:color="auto"/>
        <w:right w:val="none" w:sz="0" w:space="0" w:color="auto"/>
      </w:divBdr>
    </w:div>
    <w:div w:id="18835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agazettedescommunes.com/868396/les-comptes-des-administrations-publiques-locales-en-2022/" TargetMode="External"/><Relationship Id="rId1" Type="http://schemas.openxmlformats.org/officeDocument/2006/relationships/hyperlink" Target="https://ec.europa.eu/eurostat/databrowser/view/GOV_10A_MAIN/default/table?lang=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iennna PC">
      <a:dk1>
        <a:srgbClr val="0D284B"/>
      </a:dk1>
      <a:lt1>
        <a:sysClr val="window" lastClr="FFFFFF"/>
      </a:lt1>
      <a:dk2>
        <a:srgbClr val="0D284B"/>
      </a:dk2>
      <a:lt2>
        <a:srgbClr val="E7E6E6"/>
      </a:lt2>
      <a:accent1>
        <a:srgbClr val="D3B32C"/>
      </a:accent1>
      <a:accent2>
        <a:srgbClr val="143E76"/>
      </a:accent2>
      <a:accent3>
        <a:srgbClr val="A3C4EF"/>
      </a:accent3>
      <a:accent4>
        <a:srgbClr val="6A6F80"/>
      </a:accent4>
      <a:accent5>
        <a:srgbClr val="D3B32C"/>
      </a:accent5>
      <a:accent6>
        <a:srgbClr val="E5D283"/>
      </a:accent6>
      <a:hlink>
        <a:srgbClr val="00B050"/>
      </a:hlink>
      <a:folHlink>
        <a:srgbClr val="92D050"/>
      </a:folHlink>
    </a:clrScheme>
    <a:fontScheme name="Sienna PC">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143D6F7910345A6623BC5C3EE8CE2" ma:contentTypeVersion="14" ma:contentTypeDescription="Create a new document." ma:contentTypeScope="" ma:versionID="2a4dd97d223b5904e000d83745041fa6">
  <xsd:schema xmlns:xsd="http://www.w3.org/2001/XMLSchema" xmlns:xs="http://www.w3.org/2001/XMLSchema" xmlns:p="http://schemas.microsoft.com/office/2006/metadata/properties" xmlns:ns2="e4d77bb7-92b0-4c09-affb-7f88fcd5adeb" xmlns:ns3="5f1211ef-c05c-4d80-8dd7-f64cc80c25f9" targetNamespace="http://schemas.microsoft.com/office/2006/metadata/properties" ma:root="true" ma:fieldsID="485ba8e069dc0b4c90cf00ea9cb14d4d" ns2:_="" ns3:_="">
    <xsd:import namespace="e4d77bb7-92b0-4c09-affb-7f88fcd5adeb"/>
    <xsd:import namespace="5f1211ef-c05c-4d80-8dd7-f64cc80c25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Open_x0020_with_x0020_Seclore"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77bb7-92b0-4c09-affb-7f88fcd5a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Open_x0020_with_x0020_Seclore" ma:index="14" nillable="true" ma:displayName="Open with Seclore" ma:hidden="true" ma:internalName="Open_x0020_with_x0020_Seclor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0c38e9-aeb8-4a3c-96ee-652d2452d72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211ef-c05c-4d80-8dd7-f64cc80c25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e050768-e59d-46bf-bec4-4fe0687df0ee}" ma:internalName="TaxCatchAll" ma:showField="CatchAllData" ma:web="5f1211ef-c05c-4d80-8dd7-f64cc80c2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1211ef-c05c-4d80-8dd7-f64cc80c25f9" xsi:nil="true"/>
    <Open_x0020_with_x0020_Seclore xmlns="e4d77bb7-92b0-4c09-affb-7f88fcd5adeb" xsi:nil="true"/>
    <lcf76f155ced4ddcb4097134ff3c332f xmlns="e4d77bb7-92b0-4c09-affb-7f88fcd5ad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34038-6B74-4A9B-9BCB-F1D4E5882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77bb7-92b0-4c09-affb-7f88fcd5adeb"/>
    <ds:schemaRef ds:uri="5f1211ef-c05c-4d80-8dd7-f64cc80c2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62A26-F6FD-470D-B56D-7D9DEB55ABE4}">
  <ds:schemaRefs>
    <ds:schemaRef ds:uri="http://schemas.microsoft.com/office/2006/metadata/properties"/>
    <ds:schemaRef ds:uri="http://schemas.microsoft.com/office/infopath/2007/PartnerControls"/>
    <ds:schemaRef ds:uri="5f1211ef-c05c-4d80-8dd7-f64cc80c25f9"/>
    <ds:schemaRef ds:uri="e4d77bb7-92b0-4c09-affb-7f88fcd5adeb"/>
  </ds:schemaRefs>
</ds:datastoreItem>
</file>

<file path=customXml/itemProps3.xml><?xml version="1.0" encoding="utf-8"?>
<ds:datastoreItem xmlns:ds="http://schemas.openxmlformats.org/officeDocument/2006/customXml" ds:itemID="{9A77E9B1-F3C1-4E30-8FBB-200056A2E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4257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 CHARRY</dc:creator>
  <cp:keywords/>
  <dc:description/>
  <cp:lastModifiedBy>Gloria LETHUILLIER</cp:lastModifiedBy>
  <cp:revision>5</cp:revision>
  <dcterms:created xsi:type="dcterms:W3CDTF">2023-03-23T16:11:00Z</dcterms:created>
  <dcterms:modified xsi:type="dcterms:W3CDTF">2023-06-05T11:52:00Z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0x01010012B143D6F7910345A6623BC5C3EE8CE2</vt:lpwstr>
  </property>
  <property fmtid="{D5CDD505-2E9C-101B-9397-08002B2CF9AE}" pid="3" name="Order">
    <vt:r8>360400</vt:r8>
  </property>
  <property fmtid="{D5CDD505-2E9C-101B-9397-08002B2CF9AE}" pid="4" name="MediaServiceImageTags">
    <vt:lpwstr/>
  </property>
</Properties>
</file>